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C2" w:rsidRPr="004D4E21" w:rsidRDefault="00D040C2" w:rsidP="00D040C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4D4E21">
        <w:rPr>
          <w:rFonts w:ascii="Arial" w:hAnsi="Arial" w:cs="Arial"/>
          <w:b/>
          <w:sz w:val="24"/>
          <w:szCs w:val="24"/>
          <w:lang w:val="az-Latn-AZ"/>
        </w:rPr>
        <w:t xml:space="preserve">Azərbaycan Respublikası </w:t>
      </w:r>
      <w:bookmarkStart w:id="0" w:name="_GoBack"/>
      <w:r w:rsidRPr="004D4E21">
        <w:rPr>
          <w:rFonts w:ascii="Arial" w:hAnsi="Arial" w:cs="Arial"/>
          <w:b/>
          <w:sz w:val="24"/>
          <w:szCs w:val="24"/>
          <w:lang w:val="az-Latn-AZ"/>
        </w:rPr>
        <w:t>Kosmik Agentliyinin (Azərkosmos) fəaliyyət istiqamətləri üzrə müvafiq işlərin görülməsi üçün alınması tələb olunmayan lisenziya və icazələrin siyahısı</w:t>
      </w:r>
      <w:bookmarkEnd w:id="0"/>
      <w:r w:rsidRPr="004D4E21">
        <w:rPr>
          <w:rFonts w:ascii="Arial" w:hAnsi="Arial" w:cs="Arial"/>
          <w:b/>
          <w:sz w:val="24"/>
          <w:szCs w:val="24"/>
          <w:lang w:val="az-Latn-AZ"/>
        </w:rPr>
        <w:t>nın təsdiq edilməsi haqqında</w:t>
      </w:r>
    </w:p>
    <w:p w:rsidR="00D040C2" w:rsidRPr="004D4E21" w:rsidRDefault="00D040C2" w:rsidP="00D040C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:rsidR="00D040C2" w:rsidRPr="004D4E21" w:rsidRDefault="00D040C2" w:rsidP="00D040C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4D4E21">
        <w:rPr>
          <w:rFonts w:ascii="Arial" w:hAnsi="Arial" w:cs="Arial"/>
          <w:sz w:val="24"/>
          <w:szCs w:val="24"/>
          <w:lang w:val="az-Latn-AZ"/>
        </w:rPr>
        <w:t>AZƏRBAYCAN RESPUBLİKASININ NAZİRLƏR KABİNETİNİN QƏRARI</w:t>
      </w:r>
    </w:p>
    <w:p w:rsidR="00D040C2" w:rsidRPr="004D4E21" w:rsidRDefault="00D040C2" w:rsidP="00D04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D040C2" w:rsidRPr="004D4E21" w:rsidRDefault="00D040C2" w:rsidP="00D040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4D4E21">
        <w:rPr>
          <w:rFonts w:ascii="Arial" w:hAnsi="Arial" w:cs="Arial"/>
          <w:sz w:val="24"/>
          <w:szCs w:val="24"/>
          <w:lang w:val="az-Latn-AZ"/>
        </w:rPr>
        <w:t xml:space="preserve">“Kosmik fəaliyyət haqqında” Azərbaycan Respublikasının 2023-cü il 24 iyun tarixli 927-VIQ nömrəli Qanununun tətbiq edilməsi barədə” Azərbaycan Respublikası Prezidentinin 2023-cü il 4 avqust tarixli 2291 nömrəli Fərmanının 2.1.2-ci yarımbəndinin icrasını təmin etmək məqsədilə Azərbaycan Respublikasının Nazirlər Kabineti </w:t>
      </w:r>
      <w:r w:rsidRPr="004D4E21">
        <w:rPr>
          <w:rFonts w:ascii="Arial" w:hAnsi="Arial" w:cs="Arial"/>
          <w:b/>
          <w:sz w:val="24"/>
          <w:szCs w:val="24"/>
          <w:lang w:val="az-Latn-AZ"/>
        </w:rPr>
        <w:t>qərara alır:</w:t>
      </w:r>
      <w:r w:rsidRPr="004D4E21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D040C2" w:rsidRPr="004D4E21" w:rsidRDefault="00D040C2" w:rsidP="00D040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4D4E21">
        <w:rPr>
          <w:rFonts w:ascii="Arial" w:hAnsi="Arial" w:cs="Arial"/>
          <w:sz w:val="24"/>
          <w:szCs w:val="24"/>
          <w:lang w:val="az-Latn-AZ"/>
        </w:rPr>
        <w:t xml:space="preserve">1. “Azərbaycan Respublikası Kosmik Agentliyinin (Azərkosmos) fəaliyyət istiqamətləri üzrə müvafiq işlərin görülməsi üçün alınması tələb olunmayan lisenziyaların siyahısı” təsdiq edilsin (əlavə olunur). </w:t>
      </w:r>
    </w:p>
    <w:p w:rsidR="00D040C2" w:rsidRPr="004D4E21" w:rsidRDefault="00D040C2" w:rsidP="00D040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4D4E21">
        <w:rPr>
          <w:rFonts w:ascii="Arial" w:hAnsi="Arial" w:cs="Arial"/>
          <w:sz w:val="24"/>
          <w:szCs w:val="24"/>
          <w:lang w:val="az-Latn-AZ"/>
        </w:rPr>
        <w:t xml:space="preserve">2. “Azərbaycan Respublikası Kosmik Agentliyinin (Azərkosmos) fəaliyyət istiqamətləri üzrə müvafiq işlərin görülməsi üçün alınması tələb olunmayan icazələrin siyahısı” təsdiq edilsin (əlavə olunur). </w:t>
      </w:r>
    </w:p>
    <w:p w:rsidR="00D040C2" w:rsidRPr="004D4E21" w:rsidRDefault="00D040C2" w:rsidP="00D040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4D4E21">
        <w:rPr>
          <w:rFonts w:ascii="Arial" w:hAnsi="Arial" w:cs="Arial"/>
          <w:sz w:val="24"/>
          <w:szCs w:val="24"/>
          <w:lang w:val="az-Latn-AZ"/>
        </w:rPr>
        <w:t>3. Bu Qərarda dəyişiklik Azərbaycan Respublikası Prezidentinin 2023-cü il 6 oktyabr tarixli 2328 nömrəli Fərmanı ilə təsdiq edilmiş “İcra hakimiyyəti orqanlarının normativ hüquqi aktlarının layihələrinin hazırlanması, razılaşdırılması, qəbul edilməsi və dərc edilməsi qaydası haqqında Əsasnamə”nin 3.5-ci bəndinə uyğun edilə bilə</w:t>
      </w:r>
      <w:r w:rsidR="004D4E21">
        <w:rPr>
          <w:rFonts w:ascii="Arial" w:hAnsi="Arial" w:cs="Arial"/>
          <w:sz w:val="24"/>
          <w:szCs w:val="24"/>
          <w:lang w:val="az-Latn-AZ"/>
        </w:rPr>
        <w:t>r.</w:t>
      </w:r>
    </w:p>
    <w:p w:rsidR="00D040C2" w:rsidRPr="004D4E21" w:rsidRDefault="00D040C2" w:rsidP="00D040C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4D4E21">
        <w:rPr>
          <w:rFonts w:ascii="Arial" w:hAnsi="Arial" w:cs="Arial"/>
          <w:b/>
          <w:sz w:val="24"/>
          <w:szCs w:val="24"/>
          <w:lang w:val="az-Latn-AZ"/>
        </w:rPr>
        <w:t xml:space="preserve">Əli ƏSƏDOV </w:t>
      </w:r>
    </w:p>
    <w:p w:rsidR="00D040C2" w:rsidRPr="004D4E21" w:rsidRDefault="00D040C2" w:rsidP="00D040C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4D4E21">
        <w:rPr>
          <w:rFonts w:ascii="Arial" w:hAnsi="Arial" w:cs="Arial"/>
          <w:b/>
          <w:sz w:val="24"/>
          <w:szCs w:val="24"/>
          <w:lang w:val="az-Latn-AZ"/>
        </w:rPr>
        <w:t xml:space="preserve">Azərbaycan Respublikasının Baş naziri </w:t>
      </w:r>
    </w:p>
    <w:p w:rsidR="00D040C2" w:rsidRPr="004D4E21" w:rsidRDefault="00D040C2" w:rsidP="00D040C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4D4E21">
        <w:rPr>
          <w:rFonts w:ascii="Arial" w:hAnsi="Arial" w:cs="Arial"/>
          <w:sz w:val="24"/>
          <w:szCs w:val="24"/>
          <w:lang w:val="az-Latn-AZ"/>
        </w:rPr>
        <w:t xml:space="preserve">Bakı şəhəri, 19 mart 2024-cü il </w:t>
      </w:r>
    </w:p>
    <w:p w:rsidR="00D040C2" w:rsidRPr="004D4E21" w:rsidRDefault="00D040C2" w:rsidP="00D040C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az-Latn-AZ"/>
        </w:rPr>
      </w:pPr>
      <w:r w:rsidRPr="004D4E21">
        <w:rPr>
          <w:rFonts w:ascii="Arial" w:hAnsi="Arial" w:cs="Arial"/>
          <w:sz w:val="24"/>
          <w:szCs w:val="24"/>
          <w:lang w:val="az-Latn-AZ"/>
        </w:rPr>
        <w:t>№ 173</w:t>
      </w:r>
    </w:p>
    <w:p w:rsidR="00FC3FF5" w:rsidRPr="004D4E21" w:rsidRDefault="00FC3FF5" w:rsidP="00D040C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:rsidR="00D040C2" w:rsidRPr="004D4E21" w:rsidRDefault="00D040C2" w:rsidP="003E1F06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D4E21">
        <w:rPr>
          <w:rFonts w:ascii="Arial" w:hAnsi="Arial" w:cs="Arial"/>
          <w:b/>
          <w:sz w:val="24"/>
          <w:szCs w:val="24"/>
          <w:lang w:val="az-Latn-AZ"/>
        </w:rPr>
        <w:t>Azərbaycan Respublikası Kosmik Agentliyinin (Azərkosmos) fəaliyyət istiqamətləri üzrə müvafiq işlərin görülməsi üçün alınması tələb olunmayan lisenziyaların</w:t>
      </w:r>
    </w:p>
    <w:p w:rsidR="00D040C2" w:rsidRPr="004D4E21" w:rsidRDefault="00D040C2" w:rsidP="003E1F0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D4E21">
        <w:rPr>
          <w:rFonts w:ascii="Arial" w:hAnsi="Arial" w:cs="Arial"/>
          <w:b/>
          <w:sz w:val="24"/>
          <w:szCs w:val="24"/>
          <w:lang w:val="az-Latn-AZ"/>
        </w:rPr>
        <w:t>SİYAHISI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8951"/>
      </w:tblGrid>
      <w:tr w:rsidR="00D040C2" w:rsidRPr="004D4E21" w:rsidTr="003E1F06">
        <w:trPr>
          <w:jc w:val="center"/>
        </w:trPr>
        <w:tc>
          <w:tcPr>
            <w:tcW w:w="895" w:type="dxa"/>
            <w:vAlign w:val="center"/>
          </w:tcPr>
          <w:p w:rsidR="00D040C2" w:rsidRPr="004D4E21" w:rsidRDefault="00D040C2" w:rsidP="00D040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Sıra</w:t>
            </w:r>
          </w:p>
          <w:p w:rsidR="00D040C2" w:rsidRPr="004D4E21" w:rsidRDefault="00D040C2" w:rsidP="00D040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8951" w:type="dxa"/>
            <w:vAlign w:val="center"/>
          </w:tcPr>
          <w:p w:rsidR="00D040C2" w:rsidRPr="004D4E21" w:rsidRDefault="00D040C2" w:rsidP="00D040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Fəaliyyət növünün adı</w:t>
            </w:r>
          </w:p>
        </w:tc>
      </w:tr>
      <w:tr w:rsidR="00D040C2" w:rsidRPr="004D4E21" w:rsidTr="003E1F06">
        <w:trPr>
          <w:jc w:val="center"/>
        </w:trPr>
        <w:tc>
          <w:tcPr>
            <w:tcW w:w="895" w:type="dxa"/>
          </w:tcPr>
          <w:p w:rsidR="00D040C2" w:rsidRPr="004D4E21" w:rsidRDefault="00D040C2" w:rsidP="00D040C2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8951" w:type="dxa"/>
          </w:tcPr>
          <w:p w:rsidR="00D040C2" w:rsidRPr="004D4E21" w:rsidRDefault="00D040C2" w:rsidP="00D040C2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>İP-telefoniya (internet telefoniya)</w:t>
            </w:r>
          </w:p>
        </w:tc>
      </w:tr>
    </w:tbl>
    <w:p w:rsidR="00D040C2" w:rsidRPr="004D4E21" w:rsidRDefault="00D040C2" w:rsidP="003E1F06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D4E21">
        <w:rPr>
          <w:rFonts w:ascii="Arial" w:hAnsi="Arial" w:cs="Arial"/>
          <w:b/>
          <w:sz w:val="24"/>
          <w:szCs w:val="24"/>
          <w:lang w:val="az-Latn-AZ"/>
        </w:rPr>
        <w:t>Azərbaycan Respublikası Kosmik Agentliyinin (Azərkosmos) fəaliyyət istiqamətləri üzrə müvafiq işlərin görülməsi üçün alınması tələb olunmayan icazələrin</w:t>
      </w:r>
    </w:p>
    <w:p w:rsidR="00D040C2" w:rsidRPr="004D4E21" w:rsidRDefault="00D040C2" w:rsidP="003E1F0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D4E21">
        <w:rPr>
          <w:rFonts w:ascii="Arial" w:hAnsi="Arial" w:cs="Arial"/>
          <w:b/>
          <w:sz w:val="24"/>
          <w:szCs w:val="24"/>
          <w:lang w:val="az-Latn-AZ"/>
        </w:rPr>
        <w:t>SİYAHISI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8951"/>
      </w:tblGrid>
      <w:tr w:rsidR="00D040C2" w:rsidRPr="004D4E21" w:rsidTr="003E1F06">
        <w:trPr>
          <w:jc w:val="center"/>
        </w:trPr>
        <w:tc>
          <w:tcPr>
            <w:tcW w:w="805" w:type="dxa"/>
            <w:vAlign w:val="center"/>
          </w:tcPr>
          <w:p w:rsidR="00D040C2" w:rsidRPr="004D4E21" w:rsidRDefault="00D040C2" w:rsidP="00D040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Sıra</w:t>
            </w:r>
          </w:p>
          <w:p w:rsidR="00D040C2" w:rsidRPr="004D4E21" w:rsidRDefault="00D040C2" w:rsidP="00D040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8951" w:type="dxa"/>
            <w:vAlign w:val="center"/>
          </w:tcPr>
          <w:p w:rsidR="00D040C2" w:rsidRPr="004D4E21" w:rsidRDefault="00D040C2" w:rsidP="00D040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İcazənin adı</w:t>
            </w:r>
          </w:p>
        </w:tc>
      </w:tr>
      <w:tr w:rsidR="00D040C2" w:rsidRPr="004D4E21" w:rsidTr="003E1F06">
        <w:trPr>
          <w:jc w:val="center"/>
        </w:trPr>
        <w:tc>
          <w:tcPr>
            <w:tcW w:w="805" w:type="dxa"/>
            <w:vAlign w:val="center"/>
          </w:tcPr>
          <w:p w:rsidR="00D040C2" w:rsidRPr="004D4E21" w:rsidRDefault="00D040C2" w:rsidP="004D4E2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8951" w:type="dxa"/>
          </w:tcPr>
          <w:p w:rsidR="00D040C2" w:rsidRPr="004D4E21" w:rsidRDefault="00D040C2" w:rsidP="00D040C2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“İxrac nəzarəti haqqında” Azərbaycan Respublikasının Qanununa əsasən ixrac nəzarətinə düşən aşağıdakı malların (işlərin, xidmətlərin, əqli fəaliyyətin nəticələrinin) ixracı, təkrar ixracı, idxalı, təkrar idxalı və tranziti üçün icazə: </w:t>
            </w:r>
          </w:p>
        </w:tc>
      </w:tr>
      <w:tr w:rsidR="00D040C2" w:rsidRPr="004D4E21" w:rsidTr="003E1F06">
        <w:trPr>
          <w:jc w:val="center"/>
        </w:trPr>
        <w:tc>
          <w:tcPr>
            <w:tcW w:w="805" w:type="dxa"/>
            <w:vAlign w:val="center"/>
          </w:tcPr>
          <w:p w:rsidR="00D040C2" w:rsidRPr="004D4E21" w:rsidRDefault="00D040C2" w:rsidP="004D4E2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>1.1.</w:t>
            </w:r>
          </w:p>
        </w:tc>
        <w:tc>
          <w:tcPr>
            <w:tcW w:w="8951" w:type="dxa"/>
          </w:tcPr>
          <w:p w:rsidR="00D040C2" w:rsidRPr="004D4E21" w:rsidRDefault="00D040C2" w:rsidP="00D040C2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mülki məqsədlər üçün kosmik obyektlər: sistemlər və komponentlər, sınaq, nəzarət və istehsalat avadanlıqları, materiallar, proqram təminatı, texnologiyalar, işlər, xidmətlər </w:t>
            </w:r>
          </w:p>
        </w:tc>
      </w:tr>
      <w:tr w:rsidR="00D040C2" w:rsidRPr="004D4E21" w:rsidTr="003E1F06">
        <w:trPr>
          <w:jc w:val="center"/>
        </w:trPr>
        <w:tc>
          <w:tcPr>
            <w:tcW w:w="805" w:type="dxa"/>
            <w:vAlign w:val="center"/>
          </w:tcPr>
          <w:p w:rsidR="00D040C2" w:rsidRPr="004D4E21" w:rsidRDefault="00D040C2" w:rsidP="004D4E2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8951" w:type="dxa"/>
          </w:tcPr>
          <w:p w:rsidR="00D040C2" w:rsidRPr="004D4E21" w:rsidRDefault="00D040C2" w:rsidP="00D040C2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>“Mülki dövriyyənin müəyyən iştirakçılarına mənsub ola bilən və dövriyyədə olmasına xüsusi icazə əsasında yol verilən (mülki dövriyyəsi məhdudlaşdırılmış) əşyaların siyahısı haqqında” Azə</w:t>
            </w:r>
            <w:r w:rsidR="007D4019" w:rsidRPr="004D4E21">
              <w:rPr>
                <w:rFonts w:ascii="Arial" w:hAnsi="Arial" w:cs="Arial"/>
                <w:sz w:val="24"/>
                <w:szCs w:val="24"/>
                <w:lang w:val="az-Latn-AZ"/>
              </w:rPr>
              <w:t>rbaycan Respublikasının Qanu</w:t>
            </w: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nuna əsasən mülki dövriyyənin müəyyən iştirakçılarına mənsub ola bilən və dövriyyədə olmasına icazə əsasında yol verilən (mülki dövriyyəsi məhdudlaşdırılmış) aşağıdakı əşyaların dövriyyəsinə icazə: </w:t>
            </w:r>
          </w:p>
        </w:tc>
      </w:tr>
      <w:tr w:rsidR="00D040C2" w:rsidRPr="004D4E21" w:rsidTr="003E1F06">
        <w:trPr>
          <w:jc w:val="center"/>
        </w:trPr>
        <w:tc>
          <w:tcPr>
            <w:tcW w:w="805" w:type="dxa"/>
            <w:vAlign w:val="center"/>
          </w:tcPr>
          <w:p w:rsidR="00D040C2" w:rsidRPr="004D4E21" w:rsidRDefault="00D040C2" w:rsidP="004D4E2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>2.1.</w:t>
            </w:r>
          </w:p>
        </w:tc>
        <w:tc>
          <w:tcPr>
            <w:tcW w:w="8951" w:type="dxa"/>
          </w:tcPr>
          <w:p w:rsidR="00D040C2" w:rsidRPr="004D4E21" w:rsidRDefault="00D040C2" w:rsidP="00D040C2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kosmik-peyk rabitə vasitələri </w:t>
            </w:r>
          </w:p>
        </w:tc>
      </w:tr>
      <w:tr w:rsidR="00D040C2" w:rsidRPr="004D4E21" w:rsidTr="003E1F06">
        <w:trPr>
          <w:jc w:val="center"/>
        </w:trPr>
        <w:tc>
          <w:tcPr>
            <w:tcW w:w="805" w:type="dxa"/>
            <w:vAlign w:val="center"/>
          </w:tcPr>
          <w:p w:rsidR="00D040C2" w:rsidRPr="004D4E21" w:rsidRDefault="00D040C2" w:rsidP="004D4E2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2.2.</w:t>
            </w:r>
          </w:p>
        </w:tc>
        <w:tc>
          <w:tcPr>
            <w:tcW w:w="8951" w:type="dxa"/>
          </w:tcPr>
          <w:p w:rsidR="00D040C2" w:rsidRPr="004D4E21" w:rsidRDefault="00D040C2" w:rsidP="00D040C2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“Mülki dövriyyənin müəyyən iştirakçılarına mənsub ola bilən və dövriyyədə olmasına xüsusi icazə əsasında yol verilən (mülki dövriyyəsi məhdudlaşdırılmış) əşyaların siyahısı haqqında” Azərbaycan Respublikası Qanununun 14-cü maddəsində nəzərdə tutulmuş güc meyarı həddinin müəyyən edilməsi barədə” Azərbaycan Respublikası Nazirlər Kabinetinin 2004-cü il 19 aprel tarixli 54 nömrəli Qərarı ilə müəyyən edilən güc meyarı həddindən artıq olan radioötürücülər </w:t>
            </w:r>
          </w:p>
        </w:tc>
      </w:tr>
      <w:tr w:rsidR="00D040C2" w:rsidRPr="004D4E21" w:rsidTr="003E1F06">
        <w:trPr>
          <w:jc w:val="center"/>
        </w:trPr>
        <w:tc>
          <w:tcPr>
            <w:tcW w:w="805" w:type="dxa"/>
            <w:vAlign w:val="center"/>
          </w:tcPr>
          <w:p w:rsidR="00D040C2" w:rsidRPr="004D4E21" w:rsidRDefault="00D040C2" w:rsidP="004D4E2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>2.3.</w:t>
            </w:r>
          </w:p>
        </w:tc>
        <w:tc>
          <w:tcPr>
            <w:tcW w:w="8951" w:type="dxa"/>
          </w:tcPr>
          <w:p w:rsidR="00D040C2" w:rsidRPr="004D4E21" w:rsidRDefault="00D040C2" w:rsidP="007D4019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telekommunikasiya, məsafədən müşahidə, naviqasiya, nəqliyyat, tədqiqat, sınaq, məskunlaşma təyinatlı kosmik obyektlərin yerüstü kosmik infrastrukturu üçün nəzərdə tutulan radioqəbuledici qurğular (o cümlədən antenalar) </w:t>
            </w:r>
          </w:p>
        </w:tc>
      </w:tr>
      <w:tr w:rsidR="00D040C2" w:rsidRPr="004D4E21" w:rsidTr="003E1F06">
        <w:trPr>
          <w:jc w:val="center"/>
        </w:trPr>
        <w:tc>
          <w:tcPr>
            <w:tcW w:w="805" w:type="dxa"/>
            <w:vAlign w:val="center"/>
          </w:tcPr>
          <w:p w:rsidR="00D040C2" w:rsidRPr="004D4E21" w:rsidRDefault="00D040C2" w:rsidP="004D4E2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8951" w:type="dxa"/>
          </w:tcPr>
          <w:p w:rsidR="00D040C2" w:rsidRPr="004D4E21" w:rsidRDefault="00D040C2" w:rsidP="007D4019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D4E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“İstifadəsinə icazə vərəqəsi verilən radioelektron vasitələrin Siyahısı”nın təsdiq edilməsi barədə” Azərbaycan Respublikası Nazirlər Kabinetinin 2016-cı il 24 noyabr tarixli 480 nömrəli Qərarı ilə müəyyən edilən radioelektron vasitələrin istifadəsinə icazə vərəqəsi </w:t>
            </w:r>
          </w:p>
        </w:tc>
      </w:tr>
    </w:tbl>
    <w:p w:rsidR="00EF0968" w:rsidRPr="004D4E21" w:rsidRDefault="00EF0968" w:rsidP="00D040C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sectPr w:rsidR="00EF0968" w:rsidRPr="004D4E21" w:rsidSect="004D4E21">
      <w:pgSz w:w="11907" w:h="16840" w:code="9"/>
      <w:pgMar w:top="993" w:right="708" w:bottom="851" w:left="1260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2"/>
    <w:rsid w:val="00095411"/>
    <w:rsid w:val="002542E2"/>
    <w:rsid w:val="002F51C7"/>
    <w:rsid w:val="003E1F06"/>
    <w:rsid w:val="004D4E21"/>
    <w:rsid w:val="00513858"/>
    <w:rsid w:val="005C58C6"/>
    <w:rsid w:val="0079012C"/>
    <w:rsid w:val="00791787"/>
    <w:rsid w:val="007D4019"/>
    <w:rsid w:val="00C229F6"/>
    <w:rsid w:val="00D040C2"/>
    <w:rsid w:val="00EA51B4"/>
    <w:rsid w:val="00EF0968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F22D"/>
  <w15:docId w15:val="{8B24E94B-CE56-40F8-9FDF-D0E16252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Ilgar Abdullayev</cp:lastModifiedBy>
  <cp:revision>6</cp:revision>
  <dcterms:created xsi:type="dcterms:W3CDTF">2024-03-29T12:54:00Z</dcterms:created>
  <dcterms:modified xsi:type="dcterms:W3CDTF">2024-06-12T04:52:00Z</dcterms:modified>
</cp:coreProperties>
</file>